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44</w:t>
      </w:r>
    </w:p>
    <w:p>
      <w:r>
        <w:t>Bundesgericht (BGE), 1997-11-13, DE</w:t>
      </w:r>
    </w:p>
    <w:p>
      <w:r>
        <w:rPr>
          <w:b/>
        </w:rPr>
        <w:t xml:space="preserve">Quelle: </w:t>
      </w:r>
      <w:r>
        <w:t>https://mcp.opencaselaw.ch/entscheid/bge_124 III 44</w:t>
      </w:r>
    </w:p>
    <w:p>
      <w:r>
        <w:t>FR: ATF 124 III 44</w:t>
      </w:r>
    </w:p>
    <w:p>
      <w:r>
        <w:t>IT: DTF 124 III 44</w:t>
      </w:r>
    </w:p>
    <w:p>
      <w:pPr>
        <w:pStyle w:val="Heading2"/>
      </w:pPr>
      <w:r>
        <w:t>Regeste</w:t>
      </w:r>
    </w:p>
    <w:p>
      <w:r>
        <w:t>Regeste Zusatzversicherung zur Krankenversicherung nach KVG. Bei der Streitigkeit über die Frage, ob die von einer Krankenversicherung angebotene Zusatzversicherung zur Krankenversicherung den nach Art. 102 Abs. 2 KVG garantierten Versicherungsschutz gewähre, handelt es sich um eine vermögensrechtliche Zivilstreitigkeit gemäss den Art. 44 ff. OG (E. 1). Ihre Beurteilung fällt in die Zuständigkeit des Richters (Art. 47 Abs. 1 VAG) (E. 2).</w:t>
      </w:r>
    </w:p>
    <w:p>
      <w:pPr>
        <w:pStyle w:val="Heading2"/>
      </w:pPr>
      <w:r>
        <w:t>Erwägungen</w:t>
      </w:r>
    </w:p>
    <w:p>
      <w:r>
        <w:rPr>
          <w:b/>
        </w:rPr>
        <w:t>E. 1</w:t>
      </w:r>
    </w:p>
    <w:p>
      <w:r>
        <w:t>Das Bundesgericht prüft von Amtes wegen und mit freier Kognition, ob eine Rechtsmittel zulässig ist ( BGE 120 II 270 E. 1 S. 271, je mit Hinweisen). a) Als erstes fragt sich, ob überhaupt eine berufungsfähige Zivilrechtsstreitigkeit im Sinne von Art. 46 OG vorliegt. Darunter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Dieses Verfahren bezweckt die endgültige Regelung zivilrechtlicher Verhältnisse; dabei ist nicht entscheidend, welchen Rechtsweg die kantonale Behörde eingeschlagen hat; Voraussetzung bildet lediglich, dass die Parteien Ansprüche des Bundeszivilrechts erhoben haben und ebensolche objektiv streitig sind ( BGE 120 II 11 E. 2a S. 12 f.). aa) Das KVG regelt die soziale Krankenversicherung, welche die obligatorische Kranken- und eine freiwillige Taggeldversicherung umfasst (Art. 1 Abs. 1); das Versicherungsverhältnis untersteht dem öffentlichen Recht. Dies galt unter der Herrschaft des Bundesgesetzes vom 13. Juni 1911 über die Krankenversicherung auch für die von den Krankenkassen angebotenen Zusatzversicherungen. Nach dem neuen Recht hingegen unterstehen diese Versicherungen dem Privatrecht, womit auf sie nunmehr das Bundesgesetz vom 2. April 1908 über den Versicherungsvertrag (VVG; SR 221.229.1) anwendbar ist ( Art. 12 Abs. 3 KVG ). Von daher gelten Streitigkeiten aus Zusatzversicherungen als privatrechtlich. bb) Nicht zu teilen vermag das Bundesgericht die Auffassung des Sozialversicherungsgerichts, wonach die Streitigkeit infolge ihrer Nähe zur Sozialversicherung dem öffentlichen Recht zuzuordnen sei. Wie sich den Akten entnehmen lässt, stellt die der Klägerin angebotene "Nova" eine Versicherung nach "Versicherungsvertragsgesetz VVG" dar und beinhaltet damit eine Zusatzversicherung zur Krankenversicherung nach KVG. Diesbezüglich statuiert Art. 102 Abs. 2 KVG die Garantie zur Gewährleistung des bisherigen Versicherungsschutzes, BGE 124 III 44 S. 47 indem die Krankenkassen verpflichtet werden, die bisher über das gesetzliche Minimum hinaus gewährten Leistungen auf vertraglicher Basis ungeschmälert weiterzuführen (Botschaft über die Revision der Krankenversicherung, BBl 1992 I, S. 214). Damit wird zwar die Vertragsfreiheit für die Krankenkasse als Vertragskontrahentin eingeschränkt. Dies ist jedoch für die Frage der Qualifikation des Rechtsverhältnisses nicht von entscheidender Bedeutung. Die Rechtsordnung kennt zahlreiche Schranken, welche diese Freiheit in dieser oder jener Hinsicht beschränken (GAUCH/SCHLUEP, Schweizerisches Obligationenrecht, Allgemeiner Teil, Band I, 6. Aufl. Zürich 1995, N. 619 ff.); so gibt es namentlich gesetzliche Kontrahierungspflichten, die auch den Inhalt des abzuschliessenden Vertrages beschlagen können, ohne dass der unter Kontrahierungspflicht abgeschlossene bzw. abzuschliessende Vertrag zu einem "Nichtvertrag" würde und das Rechtsverhältnis als öffentlichrechtliches erscheinen liesse (a.a.O., N. 1104 ff.). Nichts anderes gilt für die im vorliegenden Fall umstrittene Frage, ob die von der X. der Versicherten angebotene Zusatzversicherung den nach Art. 102 Abs. 2 KVG garantierten Versicherungsschutz gewährt. Nicht von Belang ist, dass die umstrittene Bestandesgarantie im KVG geregelt und das Bundesamt für Sozialversicherung für die vorfrageweise Feststellung zuständig ist, ob die Versicherungsprodukte einer Krankenkasse der Vorschrift des Art. 102 Abs. 2 KVG entsprechen; denn dabei handelt es sich um formale Kriterien, die über die Natur des Rechtsverhältnisses nichts aussagen. cc) Nach Art. 102 Abs. 2 KVG haben die Krankenkassen ihre Bestimmungen "über Leistungen bei Krankenpflege, die über den Leistungsumfang nach Art. 34 Absatz 1 KVG hinausgehen (statutarische Leistungen, Zusatzversicherungen)... innert eines Jahres nach Inkrafttreten dieses Gesetzes dem neuen Recht anzupassen. Bis zur Anpassung richten sich Rechte und Pflichten der Versicherten nach dem bisherigen Recht". Danach gilt jedoch entgegen der in der Berufungsschrift anscheinend vertretenen Ansicht uneingeschränkt das neue Recht. Die Vorschrift, die in Frage stehenden Bestimmungen "innert eines Jahres nach Inkrafttreten dem neuen Recht anzupassen", bezeichnet bloss den spätesten Zeitpunkt der Anpassung, verbietet jedoch den Krankenkassen nicht, die erforderlichen Angleichungen schon auf einen früheren Zeitpunkt vorzunehmen. Im konkreten Fall haben die Abklärungen des Bundesgerichts ergeben, dass die X. die hier interessierenden Bestimmungen über die Zusatzversicherung bereits per 1. Januar 1996 dem neuen Recht angepasst hat. Seither richten BGE 124 III 44 S. 48 sich Rechte und Pflichten der Versicherten in diesem Bereich demnach ausschliesslich nach dem neuen Recht. dd) Da die Parteien somit Ansprüche des Bundeszivilrechts erhoben haben und auch solche streitig sind, ist folglich von einer Zivilrechtsstreitigkeit im Sinne von Art. 46 OG auszugehen. b) Abgesehen davon übersteigt der Streitwert nach den unwidersprochenen Ausführungen in der Berufung den Betrag von Fr. 8'000.--, so dass auf die im übrigen frist- und formgerecht eingereichte Berufung einzutreten ist ( Art. 46 OG ).</w:t>
      </w:r>
    </w:p>
    <w:p>
      <w:r>
        <w:rPr>
          <w:b/>
        </w:rPr>
        <w:t>E. 2</w:t>
      </w:r>
    </w:p>
    <w:p>
      <w:r>
        <w:t>a) Handelt es sich bei der Streitigkeit über den (Mindest-) Inhalt der der Klägerin angebotenen Zusatzversicherung um eine solche privatrechtlicher Natur und hat die Beklagte ihre einschlägigen Bestimmungen bereits auf den 1. Januar 1996 angepasst, so entscheidet gemäss Art. 47 Abs. 1 VAG der Richter über privatrechtliche Streitigkeiten zwischen Versicherungseinrichtungen oder zwischen solchen und den Versicherten. Zudem haben die Kantone nach der auf den 1. Januar 1996 in Kraft getretenen Fassung von Art. 47 Abs. 2 VAG (Anhang Ziff. 2 des KVG) für Streitigkeiten aus Zusatzversicherungen zur sozialen Krankenversicherung nach KVG ein einfaches und rasches Verfahren vorzusehen, in dem der Richter den Sachverhalt von Amtes wegen festzustellen und die Beweise nach freiem Ermessen zu würdigen hat (siehe dazu statt vieler: RAYMOND SPIRA, Die Rechtspflege in der neuen Krankenversicherung, in: Soziale Sicherheit 1995, S. 258). Indem das Sozialversicherungsgericht des Kantons Zürich auf die Klage nicht eingetreten ist, hat es demnach Bundesrecht verletzt. b) Daran ändert auch die Auffassung der X. nichts, das Sozialversicherungsgericht des Kantons Zürich habe auch deshalb auf die Klage nicht eintreten dürfen, weil bei deren Einreichung beim Verwaltungsgericht des Kantons Luzern bereits ein Prozess über die gleiche Sache hängig gewesen sei. Zwar trifft zu, dass es in beiden Verfahren um die Frage geht, ob die X. mit dem der Versicherten angebotenen neuen Vertrag der Verpflichtung gemäss Art. 102 Abs. 2 KVG nachgekommen ist, dieser mindestens den bisherigen Umfang des Versicherungsschutzes zu gewähren. Dies kann jedoch der Versicherten nicht entgegengehalten werden, zumal auch die Frage der sachlichen Zuständigkeit bzw. des zulässigen Rechtsweges umstritten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